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3405B" w:rsidRPr="0023405B" w:rsidRDefault="0023405B" w:rsidP="0023405B">
      <w:pPr>
        <w:spacing w:after="0"/>
        <w:jc w:val="right"/>
        <w:rPr>
          <w:rFonts w:ascii="Times New Roman" w:hAnsi="Times New Roman"/>
          <w:sz w:val="24"/>
          <w:szCs w:val="24"/>
        </w:rPr>
      </w:pPr>
      <w:r w:rsidRPr="0023405B">
        <w:rPr>
          <w:rFonts w:ascii="Times New Roman" w:hAnsi="Times New Roman"/>
          <w:b/>
          <w:bCs/>
          <w:sz w:val="24"/>
          <w:szCs w:val="24"/>
        </w:rPr>
        <w:t>5.pielikums nolikumam</w:t>
      </w:r>
      <w:r w:rsidRPr="0023405B">
        <w:rPr>
          <w:rFonts w:ascii="Times New Roman" w:hAnsi="Times New Roman"/>
          <w:sz w:val="24"/>
          <w:szCs w:val="24"/>
        </w:rPr>
        <w:br/>
        <w:t>VNĪ 2020/4/4-1/SK-1</w:t>
      </w:r>
    </w:p>
    <w:p w:rsidR="0023405B" w:rsidRPr="0023405B" w:rsidRDefault="0023405B" w:rsidP="0023405B">
      <w:pPr>
        <w:spacing w:after="0"/>
        <w:jc w:val="both"/>
        <w:rPr>
          <w:rFonts w:ascii="Times New Roman" w:hAnsi="Times New Roman"/>
          <w:sz w:val="24"/>
          <w:szCs w:val="24"/>
        </w:rPr>
      </w:pPr>
    </w:p>
    <w:p w:rsidR="0023405B" w:rsidRPr="0023405B" w:rsidRDefault="0023405B" w:rsidP="0023405B">
      <w:pPr>
        <w:spacing w:after="0"/>
        <w:jc w:val="center"/>
        <w:rPr>
          <w:rFonts w:ascii="Times New Roman" w:hAnsi="Times New Roman"/>
          <w:b/>
          <w:bCs/>
          <w:sz w:val="24"/>
          <w:szCs w:val="24"/>
        </w:rPr>
      </w:pPr>
      <w:r w:rsidRPr="0023405B">
        <w:rPr>
          <w:rFonts w:ascii="Times New Roman" w:hAnsi="Times New Roman"/>
          <w:b/>
          <w:bCs/>
          <w:sz w:val="24"/>
          <w:szCs w:val="24"/>
        </w:rPr>
        <w:t xml:space="preserve">DIS Pircēji un 2019.gada elektroenerģijas patēriņa dati </w:t>
      </w:r>
    </w:p>
    <w:p w:rsidR="0023405B" w:rsidRPr="0023405B" w:rsidRDefault="0023405B" w:rsidP="0023405B">
      <w:pPr>
        <w:spacing w:after="0"/>
        <w:jc w:val="center"/>
        <w:rPr>
          <w:rFonts w:ascii="Times New Roman" w:hAnsi="Times New Roman"/>
          <w:b/>
          <w:bCs/>
          <w:sz w:val="24"/>
          <w:szCs w:val="24"/>
        </w:rPr>
      </w:pPr>
    </w:p>
    <w:tbl>
      <w:tblPr>
        <w:tblW w:w="9073"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633"/>
        <w:gridCol w:w="3440"/>
      </w:tblGrid>
      <w:tr w:rsidR="0023405B" w:rsidRPr="0023405B" w:rsidTr="00A92120">
        <w:trPr>
          <w:trHeight w:val="270"/>
        </w:trPr>
        <w:tc>
          <w:tcPr>
            <w:tcW w:w="9073" w:type="dxa"/>
            <w:gridSpan w:val="2"/>
          </w:tcPr>
          <w:p w:rsidR="0023405B" w:rsidRPr="0023405B" w:rsidRDefault="0023405B" w:rsidP="0023405B">
            <w:pPr>
              <w:suppressAutoHyphens w:val="0"/>
              <w:autoSpaceDE w:val="0"/>
              <w:adjustRightInd w:val="0"/>
              <w:spacing w:after="0"/>
              <w:jc w:val="center"/>
              <w:textAlignment w:val="auto"/>
              <w:rPr>
                <w:rFonts w:ascii="Times New Roman" w:eastAsiaTheme="minorHAnsi" w:hAnsi="Times New Roman"/>
                <w:b/>
                <w:bCs/>
                <w:sz w:val="24"/>
                <w:szCs w:val="24"/>
              </w:rPr>
            </w:pPr>
            <w:r w:rsidRPr="0023405B">
              <w:rPr>
                <w:rFonts w:ascii="Times New Roman" w:eastAsiaTheme="minorHAnsi" w:hAnsi="Times New Roman"/>
                <w:b/>
                <w:bCs/>
                <w:sz w:val="24"/>
                <w:szCs w:val="24"/>
              </w:rPr>
              <w:t>1.KATEGORIJA</w:t>
            </w:r>
          </w:p>
        </w:tc>
      </w:tr>
      <w:tr w:rsidR="0023405B" w:rsidRPr="0023405B" w:rsidTr="00A92120">
        <w:trPr>
          <w:trHeight w:val="309"/>
        </w:trPr>
        <w:tc>
          <w:tcPr>
            <w:tcW w:w="5633" w:type="dxa"/>
          </w:tcPr>
          <w:p w:rsidR="0023405B" w:rsidRPr="0023405B" w:rsidRDefault="0023405B" w:rsidP="0023405B">
            <w:pPr>
              <w:suppressAutoHyphens w:val="0"/>
              <w:autoSpaceDE w:val="0"/>
              <w:adjustRightInd w:val="0"/>
              <w:spacing w:after="0"/>
              <w:jc w:val="center"/>
              <w:textAlignment w:val="auto"/>
              <w:rPr>
                <w:rFonts w:ascii="Times New Roman" w:eastAsiaTheme="minorHAnsi" w:hAnsi="Times New Roman"/>
                <w:b/>
                <w:bCs/>
                <w:sz w:val="20"/>
                <w:szCs w:val="20"/>
              </w:rPr>
            </w:pPr>
            <w:r w:rsidRPr="0023405B">
              <w:rPr>
                <w:rFonts w:ascii="Times New Roman" w:eastAsiaTheme="minorHAnsi" w:hAnsi="Times New Roman"/>
                <w:b/>
                <w:bCs/>
                <w:sz w:val="20"/>
                <w:szCs w:val="20"/>
              </w:rPr>
              <w:t>Pircēja nosaukums</w:t>
            </w:r>
          </w:p>
        </w:tc>
        <w:tc>
          <w:tcPr>
            <w:tcW w:w="3440" w:type="dxa"/>
          </w:tcPr>
          <w:p w:rsidR="0023405B" w:rsidRPr="0023405B" w:rsidRDefault="0023405B" w:rsidP="0023405B">
            <w:pPr>
              <w:suppressAutoHyphens w:val="0"/>
              <w:autoSpaceDE w:val="0"/>
              <w:adjustRightInd w:val="0"/>
              <w:spacing w:after="0"/>
              <w:jc w:val="center"/>
              <w:textAlignment w:val="auto"/>
              <w:rPr>
                <w:rFonts w:ascii="Times New Roman" w:eastAsiaTheme="minorHAnsi" w:hAnsi="Times New Roman"/>
                <w:b/>
                <w:bCs/>
                <w:sz w:val="20"/>
                <w:szCs w:val="20"/>
              </w:rPr>
            </w:pPr>
            <w:r w:rsidRPr="0023405B">
              <w:rPr>
                <w:rFonts w:ascii="Times New Roman" w:eastAsiaTheme="minorHAnsi" w:hAnsi="Times New Roman"/>
                <w:b/>
                <w:bCs/>
                <w:sz w:val="20"/>
                <w:szCs w:val="20"/>
              </w:rPr>
              <w:t>Pircēju elektroenerģijas patēriņa dati</w:t>
            </w:r>
          </w:p>
          <w:p w:rsidR="0023405B" w:rsidRPr="0023405B" w:rsidRDefault="0023405B" w:rsidP="0023405B">
            <w:pPr>
              <w:suppressAutoHyphens w:val="0"/>
              <w:autoSpaceDE w:val="0"/>
              <w:adjustRightInd w:val="0"/>
              <w:spacing w:after="0"/>
              <w:jc w:val="center"/>
              <w:textAlignment w:val="auto"/>
              <w:rPr>
                <w:rFonts w:ascii="Times New Roman" w:eastAsiaTheme="minorHAnsi" w:hAnsi="Times New Roman"/>
                <w:b/>
                <w:bCs/>
                <w:sz w:val="16"/>
                <w:szCs w:val="16"/>
              </w:rPr>
            </w:pPr>
          </w:p>
        </w:tc>
      </w:tr>
      <w:tr w:rsidR="0023405B" w:rsidRPr="0023405B" w:rsidTr="00A92120">
        <w:trPr>
          <w:trHeight w:val="9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Valsts akciju sabiedrība "Latvijas dzelzceļš" </w:t>
            </w:r>
          </w:p>
        </w:tc>
        <w:tc>
          <w:tcPr>
            <w:tcW w:w="3440" w:type="dxa"/>
            <w:vMerge w:val="restart"/>
          </w:tcPr>
          <w:p w:rsidR="0023405B" w:rsidRPr="0023405B" w:rsidRDefault="0023405B" w:rsidP="0023405B">
            <w:pPr>
              <w:suppressAutoHyphens w:val="0"/>
              <w:autoSpaceDE w:val="0"/>
              <w:adjustRightInd w:val="0"/>
              <w:spacing w:after="0"/>
              <w:jc w:val="both"/>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Šīs kategorijas pircēju elektroenerģijas patēriņš* 2019.gadā ir bijis no 1 007 053 </w:t>
            </w:r>
            <w:proofErr w:type="spellStart"/>
            <w:r w:rsidRPr="0023405B">
              <w:rPr>
                <w:rFonts w:ascii="Times New Roman" w:eastAsiaTheme="minorHAnsi" w:hAnsi="Times New Roman"/>
                <w:sz w:val="20"/>
                <w:szCs w:val="20"/>
              </w:rPr>
              <w:t>kWh</w:t>
            </w:r>
            <w:proofErr w:type="spellEnd"/>
            <w:r w:rsidRPr="0023405B">
              <w:rPr>
                <w:rFonts w:ascii="Times New Roman" w:eastAsiaTheme="minorHAnsi" w:hAnsi="Times New Roman"/>
                <w:sz w:val="20"/>
                <w:szCs w:val="20"/>
              </w:rPr>
              <w:t xml:space="preserve"> līdz 102 924 391 (kopā: 11 611   827,1 </w:t>
            </w:r>
            <w:proofErr w:type="spellStart"/>
            <w:r w:rsidRPr="0023405B">
              <w:rPr>
                <w:rFonts w:ascii="Times New Roman" w:eastAsiaTheme="minorHAnsi" w:hAnsi="Times New Roman"/>
                <w:sz w:val="20"/>
                <w:szCs w:val="20"/>
              </w:rPr>
              <w:t>kWh</w:t>
            </w:r>
            <w:proofErr w:type="spellEnd"/>
            <w:r w:rsidRPr="0023405B">
              <w:rPr>
                <w:rFonts w:ascii="Times New Roman" w:eastAsiaTheme="minorHAnsi" w:hAnsi="Times New Roman"/>
                <w:sz w:val="20"/>
                <w:szCs w:val="20"/>
              </w:rPr>
              <w:t xml:space="preserve">). </w:t>
            </w:r>
          </w:p>
          <w:p w:rsidR="0023405B" w:rsidRPr="0023405B" w:rsidRDefault="0023405B" w:rsidP="0023405B">
            <w:pPr>
              <w:suppressAutoHyphens w:val="0"/>
              <w:autoSpaceDE w:val="0"/>
              <w:adjustRightInd w:val="0"/>
              <w:spacing w:after="0"/>
              <w:jc w:val="both"/>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2019.gada vidējais elektroenerģijas patēriņš* šajā kategorijā ir 9 749 976 </w:t>
            </w:r>
            <w:proofErr w:type="spellStart"/>
            <w:r w:rsidRPr="0023405B">
              <w:rPr>
                <w:rFonts w:ascii="Times New Roman" w:eastAsiaTheme="minorHAnsi" w:hAnsi="Times New Roman"/>
                <w:sz w:val="20"/>
                <w:szCs w:val="20"/>
              </w:rPr>
              <w:t>kWh</w:t>
            </w:r>
            <w:proofErr w:type="spellEnd"/>
            <w:r w:rsidRPr="0023405B">
              <w:rPr>
                <w:rFonts w:ascii="Times New Roman" w:eastAsiaTheme="minorHAnsi" w:hAnsi="Times New Roman"/>
                <w:sz w:val="20"/>
                <w:szCs w:val="20"/>
              </w:rPr>
              <w:t>.</w:t>
            </w:r>
          </w:p>
          <w:p w:rsidR="0023405B" w:rsidRPr="0023405B" w:rsidRDefault="0023405B" w:rsidP="0023405B">
            <w:pPr>
              <w:suppressAutoHyphens w:val="0"/>
              <w:autoSpaceDE w:val="0"/>
              <w:adjustRightInd w:val="0"/>
              <w:spacing w:after="0"/>
              <w:jc w:val="both"/>
              <w:textAlignment w:val="auto"/>
              <w:rPr>
                <w:rFonts w:ascii="Times New Roman" w:eastAsiaTheme="minorHAnsi" w:hAnsi="Times New Roman"/>
                <w:sz w:val="20"/>
                <w:szCs w:val="20"/>
              </w:rPr>
            </w:pPr>
          </w:p>
          <w:p w:rsidR="0023405B" w:rsidRPr="0023405B" w:rsidRDefault="0023405B" w:rsidP="0023405B">
            <w:pPr>
              <w:autoSpaceDE w:val="0"/>
              <w:adjustRightInd w:val="0"/>
              <w:spacing w:after="0"/>
              <w:jc w:val="both"/>
              <w:textAlignment w:val="auto"/>
              <w:rPr>
                <w:rFonts w:ascii="Times New Roman" w:eastAsiaTheme="minorHAnsi" w:hAnsi="Times New Roman"/>
                <w:sz w:val="20"/>
                <w:szCs w:val="20"/>
              </w:rPr>
            </w:pPr>
            <w:r w:rsidRPr="0023405B">
              <w:rPr>
                <w:rFonts w:ascii="Times New Roman" w:eastAsiaTheme="minorHAnsi" w:hAnsi="Times New Roman"/>
                <w:sz w:val="16"/>
                <w:szCs w:val="16"/>
              </w:rPr>
              <w:t xml:space="preserve">* Ar ekstrapolāciju objektiem, kuriem 2019. gadā patēriņa dati bija par nepilnu gadu (ietekme uz kopējo patēriņu 0,1%).  </w:t>
            </w:r>
          </w:p>
        </w:tc>
      </w:tr>
      <w:tr w:rsidR="0023405B" w:rsidRPr="0023405B" w:rsidTr="00A92120">
        <w:trPr>
          <w:trHeight w:val="9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Valsts akciju sabiedrība "STARPTAUTISKĀ LIDOSTA "RĪGA""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9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Valsts aizsardzības militāro objektu un iepirkumu centrs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9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Valsts akciju sabiedrība "VALSTS NEKUSTAMIE ĪPAŠUMI"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9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NODROŠINĀJUMA VALSTS AĢENTŪRA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9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Valsts akciju sabiedrība "Latvijas Valsts radio un televīzijas centrs"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9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SIA "Rīgas Austrumu klīniskā universitātes slimnīca"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20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Valsts sabiedrība ar ierobežotu atbildību "Bērnu klīniskā universitātes slimnīca"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9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"LATVIJAS NACIONĀLĀ BIBLIOTĒKA"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9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Valsts akciju sabiedrība "Latvijas autoceļu uzturētājs"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9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Valsts akciju sabiedrība "Ceļu satiksmes drošības direkcija"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9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Valsts akciju sabiedrība "Latvijas Valsts ceļi"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9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Latvijas Nacionālais mākslas muzejs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9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Valsts aģentūra "Latvijas Investīciju un attīstības aģentūra"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9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Valsts sabiedrība ar ierobežotu atbildību "Šampētera nams"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9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VSIA Traumatoloģijas un ortopēdijas slimnīca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9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NEATLIEKAMĀS MEDICĪNISKĀS PALĪDZĪBAS DIENESTS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9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Valsts akciju sabiedrība "Latvijas Pasts"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9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Valsts sociālās aprūpes centrs "Rīga"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9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VALSTS SOCIĀLĀS APRŪPES CENTRS "LATGALE"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20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Valsts sabiedrība ar ierobežotu atbildību "Rīgas psihiatrijas un narkoloģijas centrs"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9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Valsts SIA Nacionālais rehabilitācijas centrs "Vaivari"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9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Valsts sabiedrība ar ierobežotu atbildību "Latvijas Nacionālā opera un balets"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9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Sociālās integrācijas valsts aģentūra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9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VALSTS KANCELEJA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9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Valsts sociālās aprūpes centrs "Kurzeme"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9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Valsts sociālās aprūpes centrs "Zemgale"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9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Profesionālās izglītības kompetences centrs "Rīgas Valsts tehnikums"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9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Valsts ieņēmumu dienests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20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Valsts sabiedrība ar ierobežotu atbildību "Daugavpils psihoneiroloģiskā slimnīca"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20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Latvijas Republikas Ārlietu ministrija</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200"/>
        </w:trPr>
        <w:tc>
          <w:tcPr>
            <w:tcW w:w="9073" w:type="dxa"/>
            <w:gridSpan w:val="2"/>
          </w:tcPr>
          <w:p w:rsidR="0023405B" w:rsidRPr="0023405B" w:rsidRDefault="0023405B" w:rsidP="0023405B">
            <w:pPr>
              <w:suppressAutoHyphens w:val="0"/>
              <w:autoSpaceDE w:val="0"/>
              <w:adjustRightInd w:val="0"/>
              <w:spacing w:after="0"/>
              <w:jc w:val="center"/>
              <w:textAlignment w:val="auto"/>
              <w:rPr>
                <w:rFonts w:ascii="Times New Roman" w:eastAsiaTheme="minorHAnsi" w:hAnsi="Times New Roman"/>
                <w:sz w:val="24"/>
                <w:szCs w:val="24"/>
              </w:rPr>
            </w:pPr>
            <w:r w:rsidRPr="0023405B">
              <w:rPr>
                <w:rFonts w:ascii="Times New Roman" w:eastAsiaTheme="minorHAnsi" w:hAnsi="Times New Roman"/>
                <w:b/>
                <w:bCs/>
                <w:sz w:val="24"/>
                <w:szCs w:val="24"/>
              </w:rPr>
              <w:t>2.KATEGORIJA</w:t>
            </w:r>
          </w:p>
        </w:tc>
      </w:tr>
      <w:tr w:rsidR="0023405B" w:rsidRPr="0023405B" w:rsidTr="00A92120">
        <w:trPr>
          <w:trHeight w:val="200"/>
        </w:trPr>
        <w:tc>
          <w:tcPr>
            <w:tcW w:w="5633" w:type="dxa"/>
          </w:tcPr>
          <w:p w:rsidR="0023405B" w:rsidRPr="0023405B" w:rsidRDefault="0023405B" w:rsidP="0023405B">
            <w:pPr>
              <w:suppressAutoHyphens w:val="0"/>
              <w:autoSpaceDE w:val="0"/>
              <w:adjustRightInd w:val="0"/>
              <w:spacing w:after="0"/>
              <w:jc w:val="center"/>
              <w:textAlignment w:val="auto"/>
              <w:rPr>
                <w:rFonts w:ascii="Times New Roman" w:eastAsiaTheme="minorHAnsi" w:hAnsi="Times New Roman"/>
                <w:b/>
                <w:bCs/>
                <w:sz w:val="20"/>
                <w:szCs w:val="20"/>
              </w:rPr>
            </w:pPr>
            <w:r w:rsidRPr="0023405B">
              <w:rPr>
                <w:rFonts w:ascii="Times New Roman" w:eastAsiaTheme="minorHAnsi" w:hAnsi="Times New Roman"/>
                <w:b/>
                <w:bCs/>
                <w:sz w:val="20"/>
                <w:szCs w:val="20"/>
              </w:rPr>
              <w:t>Pircēja nosaukums</w:t>
            </w:r>
          </w:p>
        </w:tc>
        <w:tc>
          <w:tcPr>
            <w:tcW w:w="3440" w:type="dxa"/>
            <w:tcBorders>
              <w:bottom w:val="single" w:sz="4" w:space="0" w:color="auto"/>
            </w:tcBorders>
          </w:tcPr>
          <w:p w:rsidR="0023405B" w:rsidRPr="0023405B" w:rsidRDefault="0023405B" w:rsidP="0023405B">
            <w:pPr>
              <w:suppressAutoHyphens w:val="0"/>
              <w:autoSpaceDE w:val="0"/>
              <w:adjustRightInd w:val="0"/>
              <w:spacing w:after="0"/>
              <w:jc w:val="both"/>
              <w:textAlignment w:val="auto"/>
              <w:rPr>
                <w:rFonts w:ascii="Times New Roman" w:eastAsiaTheme="minorHAnsi" w:hAnsi="Times New Roman"/>
                <w:b/>
                <w:bCs/>
                <w:sz w:val="20"/>
                <w:szCs w:val="20"/>
              </w:rPr>
            </w:pPr>
            <w:r w:rsidRPr="0023405B">
              <w:rPr>
                <w:rFonts w:ascii="Times New Roman" w:eastAsiaTheme="minorHAnsi" w:hAnsi="Times New Roman"/>
                <w:b/>
                <w:bCs/>
                <w:sz w:val="20"/>
                <w:szCs w:val="20"/>
              </w:rPr>
              <w:t>Pircēju elektroenerģijas patēriņa dati</w:t>
            </w:r>
          </w:p>
          <w:p w:rsidR="0023405B" w:rsidRPr="0023405B" w:rsidRDefault="0023405B" w:rsidP="0023405B">
            <w:pPr>
              <w:suppressAutoHyphens w:val="0"/>
              <w:autoSpaceDE w:val="0"/>
              <w:adjustRightInd w:val="0"/>
              <w:spacing w:after="0"/>
              <w:jc w:val="both"/>
              <w:textAlignment w:val="auto"/>
              <w:rPr>
                <w:rFonts w:ascii="Times New Roman" w:eastAsiaTheme="minorHAnsi" w:hAnsi="Times New Roman"/>
                <w:b/>
                <w:sz w:val="16"/>
                <w:szCs w:val="16"/>
              </w:rPr>
            </w:pPr>
          </w:p>
        </w:tc>
      </w:tr>
      <w:tr w:rsidR="0023405B" w:rsidRPr="0023405B" w:rsidTr="00A92120">
        <w:trPr>
          <w:trHeight w:val="29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Profesionālās izglītības kompetences centrs "Rīgas Tehniskā koledža" </w:t>
            </w:r>
          </w:p>
        </w:tc>
        <w:tc>
          <w:tcPr>
            <w:tcW w:w="3440" w:type="dxa"/>
            <w:vMerge w:val="restart"/>
          </w:tcPr>
          <w:p w:rsidR="0023405B" w:rsidRPr="0023405B" w:rsidRDefault="0023405B" w:rsidP="0023405B">
            <w:pPr>
              <w:suppressAutoHyphens w:val="0"/>
              <w:autoSpaceDE w:val="0"/>
              <w:adjustRightInd w:val="0"/>
              <w:spacing w:after="0"/>
              <w:jc w:val="both"/>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Šīs kategorijas pircēju elektroenerģijas patēriņš* 2019.gadā ir bijis no 6 561 </w:t>
            </w:r>
            <w:proofErr w:type="spellStart"/>
            <w:r w:rsidRPr="0023405B">
              <w:rPr>
                <w:rFonts w:ascii="Times New Roman" w:eastAsiaTheme="minorHAnsi" w:hAnsi="Times New Roman"/>
                <w:sz w:val="20"/>
                <w:szCs w:val="20"/>
              </w:rPr>
              <w:t>kWh</w:t>
            </w:r>
            <w:proofErr w:type="spellEnd"/>
            <w:r w:rsidRPr="0023405B">
              <w:rPr>
                <w:rFonts w:ascii="Times New Roman" w:eastAsiaTheme="minorHAnsi" w:hAnsi="Times New Roman"/>
                <w:sz w:val="20"/>
                <w:szCs w:val="20"/>
              </w:rPr>
              <w:t xml:space="preserve"> līdz 877 120 </w:t>
            </w:r>
            <w:proofErr w:type="spellStart"/>
            <w:r w:rsidRPr="0023405B">
              <w:rPr>
                <w:rFonts w:ascii="Times New Roman" w:eastAsiaTheme="minorHAnsi" w:hAnsi="Times New Roman"/>
                <w:sz w:val="20"/>
                <w:szCs w:val="20"/>
              </w:rPr>
              <w:t>kWh</w:t>
            </w:r>
            <w:proofErr w:type="spellEnd"/>
            <w:r w:rsidRPr="0023405B">
              <w:rPr>
                <w:rFonts w:ascii="Times New Roman" w:eastAsiaTheme="minorHAnsi" w:hAnsi="Times New Roman"/>
                <w:sz w:val="20"/>
                <w:szCs w:val="20"/>
              </w:rPr>
              <w:t xml:space="preserve"> (kopā: 1 307 494 </w:t>
            </w:r>
            <w:proofErr w:type="spellStart"/>
            <w:r w:rsidRPr="0023405B">
              <w:rPr>
                <w:rFonts w:ascii="Times New Roman" w:eastAsiaTheme="minorHAnsi" w:hAnsi="Times New Roman"/>
                <w:sz w:val="20"/>
                <w:szCs w:val="20"/>
              </w:rPr>
              <w:t>kWh</w:t>
            </w:r>
            <w:proofErr w:type="spellEnd"/>
            <w:r w:rsidRPr="0023405B">
              <w:rPr>
                <w:rFonts w:ascii="Times New Roman" w:eastAsiaTheme="minorHAnsi" w:hAnsi="Times New Roman"/>
                <w:sz w:val="20"/>
                <w:szCs w:val="20"/>
              </w:rPr>
              <w:t xml:space="preserve">). </w:t>
            </w:r>
          </w:p>
          <w:p w:rsidR="0023405B" w:rsidRPr="0023405B" w:rsidRDefault="0023405B" w:rsidP="0023405B">
            <w:pPr>
              <w:suppressAutoHyphens w:val="0"/>
              <w:autoSpaceDE w:val="0"/>
              <w:adjustRightInd w:val="0"/>
              <w:spacing w:after="0"/>
              <w:jc w:val="both"/>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2019.gada vidējais elektroenerģijas patēriņš* šajā kategorijā ir 305 493 </w:t>
            </w:r>
            <w:proofErr w:type="spellStart"/>
            <w:r w:rsidRPr="0023405B">
              <w:rPr>
                <w:rFonts w:ascii="Times New Roman" w:eastAsiaTheme="minorHAnsi" w:hAnsi="Times New Roman"/>
                <w:sz w:val="20"/>
                <w:szCs w:val="20"/>
              </w:rPr>
              <w:t>kWh</w:t>
            </w:r>
            <w:proofErr w:type="spellEnd"/>
            <w:r w:rsidRPr="0023405B">
              <w:rPr>
                <w:rFonts w:ascii="Times New Roman" w:eastAsiaTheme="minorHAnsi" w:hAnsi="Times New Roman"/>
                <w:sz w:val="20"/>
                <w:szCs w:val="20"/>
              </w:rPr>
              <w:t>.</w:t>
            </w:r>
          </w:p>
          <w:p w:rsidR="0023405B" w:rsidRPr="0023405B" w:rsidRDefault="0023405B" w:rsidP="0023405B">
            <w:pPr>
              <w:suppressAutoHyphens w:val="0"/>
              <w:autoSpaceDE w:val="0"/>
              <w:adjustRightInd w:val="0"/>
              <w:spacing w:after="0"/>
              <w:jc w:val="both"/>
              <w:textAlignment w:val="auto"/>
              <w:rPr>
                <w:rFonts w:ascii="Times New Roman" w:eastAsiaTheme="minorHAnsi" w:hAnsi="Times New Roman"/>
                <w:sz w:val="20"/>
                <w:szCs w:val="20"/>
              </w:rPr>
            </w:pPr>
          </w:p>
          <w:p w:rsidR="0023405B" w:rsidRPr="0023405B" w:rsidRDefault="0023405B" w:rsidP="0023405B">
            <w:pPr>
              <w:autoSpaceDE w:val="0"/>
              <w:adjustRightInd w:val="0"/>
              <w:spacing w:after="0"/>
              <w:jc w:val="both"/>
              <w:textAlignment w:val="auto"/>
              <w:rPr>
                <w:rFonts w:ascii="Times New Roman" w:eastAsiaTheme="minorHAnsi" w:hAnsi="Times New Roman"/>
                <w:sz w:val="20"/>
                <w:szCs w:val="20"/>
              </w:rPr>
            </w:pPr>
            <w:r w:rsidRPr="0023405B">
              <w:rPr>
                <w:rFonts w:ascii="Times New Roman" w:eastAsiaTheme="minorHAnsi" w:hAnsi="Times New Roman"/>
                <w:sz w:val="16"/>
                <w:szCs w:val="16"/>
              </w:rPr>
              <w:lastRenderedPageBreak/>
              <w:t xml:space="preserve">* Ar ekstrapolāciju objektiem, kuriem 2019. gadā patēriņa dati bija par nepilnu gadu (ietekme uz kopējo patēriņu 0,1%).  </w:t>
            </w:r>
          </w:p>
        </w:tc>
      </w:tr>
      <w:tr w:rsidR="0023405B" w:rsidRPr="0023405B" w:rsidTr="00A92120">
        <w:trPr>
          <w:trHeight w:val="367"/>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Valsts sabiedrība ar ierobežotu atbildību "Rīgas Tūrisma un radošās industrijas tehnikums"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9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VALSTS SOCIĀLĀS APRŪPES CENTRS "VIDZEME"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9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Latvijas Nacionālais arhīvs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9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KANDAVAS LAUKSAIMNIECĪBAS TEHNIKUMS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20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PROFESIONĀLĀS IZGLĪTĪBAS KOMPETENCES CENTRS "LIEPĀJAS VALSTS TEHNIKUMS"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9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lastRenderedPageBreak/>
              <w:t>Valsts sabiedrība ar ierobežotu atbildību "Slimnīca "</w:t>
            </w:r>
            <w:proofErr w:type="spellStart"/>
            <w:r w:rsidRPr="0023405B">
              <w:rPr>
                <w:rFonts w:ascii="Times New Roman" w:eastAsiaTheme="minorHAnsi" w:hAnsi="Times New Roman"/>
                <w:sz w:val="20"/>
                <w:szCs w:val="20"/>
              </w:rPr>
              <w:t>Ģintermuiža</w:t>
            </w:r>
            <w:proofErr w:type="spellEnd"/>
            <w:r w:rsidRPr="0023405B">
              <w:rPr>
                <w:rFonts w:ascii="Times New Roman" w:eastAsiaTheme="minorHAnsi" w:hAnsi="Times New Roman"/>
                <w:sz w:val="20"/>
                <w:szCs w:val="20"/>
              </w:rPr>
              <w:t xml:space="preserve">""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9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Ogres tehnikums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9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Valsts asins donoru centrs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9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"Īpaši aizsargājamais kultūras piemineklis - "Turaidas </w:t>
            </w:r>
            <w:proofErr w:type="spellStart"/>
            <w:r w:rsidRPr="0023405B">
              <w:rPr>
                <w:rFonts w:ascii="Times New Roman" w:eastAsiaTheme="minorHAnsi" w:hAnsi="Times New Roman"/>
                <w:sz w:val="20"/>
                <w:szCs w:val="20"/>
              </w:rPr>
              <w:t>muzejrezervāts</w:t>
            </w:r>
            <w:proofErr w:type="spellEnd"/>
            <w:r w:rsidRPr="0023405B">
              <w:rPr>
                <w:rFonts w:ascii="Times New Roman" w:eastAsiaTheme="minorHAnsi" w:hAnsi="Times New Roman"/>
                <w:sz w:val="20"/>
                <w:szCs w:val="20"/>
              </w:rPr>
              <w:t xml:space="preserve">""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9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Valsts sabiedrība ar ierobežotu atbildību ” Strenču psihoneiroloģiskā slimnīca”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9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Smiltenes tehnikums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9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Rēzeknes tehnikums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9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Jelgavas Tehnikums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9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Ventspils Tehnikums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9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Rīgas Mākslas un mediju tehnikums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9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Valsts akciju sabiedrība ''Latvijas gaisa satiksme"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9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Valsts aģentūra LATVIJAS ĢEOTELPISKĀS INFORMĀCIJAS AĢENTŪRA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9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Rundāles pils muzejs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9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Latvijas Republikas Centrālā statistikas pārvalde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9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Profesionālās izglītības kompetences centrs "Daugavpils Būvniecības tehnikums"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90"/>
        </w:trPr>
        <w:tc>
          <w:tcPr>
            <w:tcW w:w="5633" w:type="dxa"/>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Vidzemes Tehnoloģiju un dizaina tehnikums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rPr>
          <w:trHeight w:val="90"/>
        </w:trPr>
        <w:tc>
          <w:tcPr>
            <w:tcW w:w="5633" w:type="dxa"/>
            <w:tcBorders>
              <w:bottom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Valmieras tehnikums </w:t>
            </w:r>
          </w:p>
        </w:tc>
        <w:tc>
          <w:tcPr>
            <w:tcW w:w="3440" w:type="dxa"/>
            <w:vMerge/>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Akciju sabiedrība "Attīstības finanšu institūcija </w:t>
            </w:r>
            <w:proofErr w:type="spellStart"/>
            <w:r w:rsidRPr="0023405B">
              <w:rPr>
                <w:rFonts w:ascii="Times New Roman" w:eastAsiaTheme="minorHAnsi" w:hAnsi="Times New Roman"/>
                <w:sz w:val="20"/>
                <w:szCs w:val="20"/>
              </w:rPr>
              <w:t>Altum</w:t>
            </w:r>
            <w:proofErr w:type="spellEnd"/>
            <w:r w:rsidRPr="0023405B">
              <w:rPr>
                <w:rFonts w:ascii="Times New Roman" w:eastAsiaTheme="minorHAnsi" w:hAnsi="Times New Roman"/>
                <w:sz w:val="20"/>
                <w:szCs w:val="20"/>
              </w:rPr>
              <w:t xml:space="preserve">"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Murjāņu sporta ģimnāzija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Rīgas Stila un modes profesionālā vidusskola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Profesionālās izglītības kompetences centrs "Daugavpils tehnikums"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Latvijas Republikas Izglītības un Zinātnes ministrija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sabiedrība ar ierobežotu atbildību "Latvijas nacionālais metroloģijas centrs"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LATVIJAS MĀKSLAS AKADĒMIJA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JĒKABPILS AGROBIZNESA KOLEDŽA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Valsts sabiedrība ar ierobežotu atbildību "Piejūras slimnīca"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Valsts akciju sabiedrība "Latvijas Jūras administrācija"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Malnavas koledža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AS "Publisko aktīvu pārvaldītājs </w:t>
            </w:r>
            <w:proofErr w:type="spellStart"/>
            <w:r w:rsidRPr="0023405B">
              <w:rPr>
                <w:rFonts w:ascii="Times New Roman" w:eastAsiaTheme="minorHAnsi" w:hAnsi="Times New Roman"/>
                <w:sz w:val="20"/>
                <w:szCs w:val="20"/>
              </w:rPr>
              <w:t>Possessor</w:t>
            </w:r>
            <w:proofErr w:type="spellEnd"/>
            <w:r w:rsidRPr="0023405B">
              <w:rPr>
                <w:rFonts w:ascii="Times New Roman" w:eastAsiaTheme="minorHAnsi" w:hAnsi="Times New Roman"/>
                <w:sz w:val="20"/>
                <w:szCs w:val="20"/>
              </w:rPr>
              <w:t xml:space="preserve">"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Nacionālā Mākslu vidusskola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Latvijas Etnogrāfiskais brīvdabas muzejs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"Zāļu valsts aģentūra"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20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Profesionālās izglītības kompetences centrs "Rīgas Dizaina un mākslas vidusskola"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Profesionālās izglītības kompetences centrs "Saldus tehnikums"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RĪGAS CELTNIECĪBAS KOLEDŽA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20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NBS NODROŠINĀJUMA PAVĒLNIECĪBA 1. REĢIONĀLAIS NODROŠINĀJUMA CENTRS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Liepājas Jūrniecības koledža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JĀZEPA VĪTOLA LATVIJAS MŪZIKAS AKADĒMIJA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Latvijas kultūras akadēmija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20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Valsts sabiedrība ar ierobežotu atbildību BĒRNU PSIHONEIROLOĢISKĀ SLIMNĪCA "AINAŽI"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AIZKRAUKLES PROFESIONĀLĀ VIDUSSKOLA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Biedrība "Latvijas Jātnieku federācija"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Latvijas Kara muzejs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199"/>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PROFESIONĀLĀS IZGLĪTĪBAS KOMPETENCES CENTRS "LIEPĀJAS MŪZIKAS, MĀKSLAS UN DIZAINA VIDUSSKOLA"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Latvijas Republikas Kultūras Ministrija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199"/>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Profesionālās izglītības kompetences centrs "Kuldīgas Tehnoloģiju un tūrisma tehnikums"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lastRenderedPageBreak/>
              <w:t xml:space="preserve">Rēzeknes Mākslas un dizaina vidusskola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Staņislava Broka Daugavpils Mūzikas vidusskola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Rīgas 3.arodskola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Valsts sabiedrība ar ierobežotu atbildību "Daugavpils teātris"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PAULA STRADIŅA MEDICĪNAS VĒSTURES MUZEJS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VALSTS KULTŪRAS PIEMINEKĻU AIZSARDZĪBAS INSPEKCIJA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Rīgas Tirdzniecības profesionālā vidusskola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20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Latvijas Kultūras akadēmijas aģentūra "Latvijas Kultūras akadēmijas Latvijas Kultūras koledža"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NODARBINĀTĪBAS VALSTS AĢENTŪRA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Memoriālo muzeju apvienība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VALSTS SOCIĀLĀS APDROŠINĀŠANAS AĢENTŪRA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VALSTS TIESU MEDICĪNAS EKSPERTĪZES CENTRS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Jāņa Ivanova Rēzeknes mūzikas vidusskola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LR KULTŪRAS MINISTRIJAS JELGAVAS MŪZIKAS VIDUSSKOLA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RĪGAS VĒSTURES UN KUĢNIECĪBAS MUZEJS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VALSTS IZGLĪTĪBAS SATURA CENTRS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20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Latvijas Republikas Aizsardzības ministrijas Nacionālo Bruņoto Spēku Nodrošinājuma pavēlniecības 2.Reģionālais nodrošinājuma centrs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ALFRĒDA KALNIŅA CĒSU MŪZIKAS VIDUSSKOLA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LATVIJAS NACIONĀLAIS VĒSTURES MUZEJS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Ventspils mūzikas vidusskola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Akciju sabiedrība "Pasažieru vilciens"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 xml:space="preserve">"Latvijas Neredzīgo bibliotēka" </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Latvijas Nacionālais teātris</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VSIA „Kultūras un sporta centrs „Daugavas stadions""/</w:t>
            </w:r>
          </w:p>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Nacionālā sporta bāze „Daugavas stadions"</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r w:rsidR="0023405B" w:rsidRPr="0023405B" w:rsidTr="00A92120">
        <w:tblPrEx>
          <w:tblBorders>
            <w:top w:val="nil"/>
            <w:left w:val="nil"/>
            <w:bottom w:val="nil"/>
            <w:right w:val="nil"/>
            <w:insideH w:val="none" w:sz="0" w:space="0" w:color="auto"/>
            <w:insideV w:val="none" w:sz="0" w:space="0" w:color="auto"/>
          </w:tblBorders>
        </w:tblPrEx>
        <w:trPr>
          <w:trHeight w:val="90"/>
        </w:trPr>
        <w:tc>
          <w:tcPr>
            <w:tcW w:w="5633" w:type="dxa"/>
            <w:tcBorders>
              <w:top w:val="single" w:sz="4" w:space="0" w:color="auto"/>
              <w:left w:val="single" w:sz="4" w:space="0" w:color="auto"/>
              <w:bottom w:val="single" w:sz="4" w:space="0" w:color="auto"/>
              <w:right w:val="single" w:sz="4" w:space="0" w:color="auto"/>
            </w:tcBorders>
          </w:tcPr>
          <w:p w:rsidR="0023405B" w:rsidRPr="0023405B" w:rsidRDefault="0023405B" w:rsidP="0023405B">
            <w:pPr>
              <w:suppressAutoHyphens w:val="0"/>
              <w:autoSpaceDE w:val="0"/>
              <w:adjustRightInd w:val="0"/>
              <w:spacing w:after="0"/>
              <w:textAlignment w:val="auto"/>
              <w:rPr>
                <w:rFonts w:ascii="Times New Roman" w:eastAsiaTheme="minorHAnsi" w:hAnsi="Times New Roman"/>
                <w:sz w:val="20"/>
                <w:szCs w:val="20"/>
              </w:rPr>
            </w:pPr>
            <w:r w:rsidRPr="0023405B">
              <w:rPr>
                <w:rFonts w:ascii="Times New Roman" w:eastAsiaTheme="minorHAnsi" w:hAnsi="Times New Roman"/>
                <w:sz w:val="20"/>
                <w:szCs w:val="20"/>
              </w:rPr>
              <w:t>SIA "Eiropas dzelzceļa līnijas"</w:t>
            </w:r>
          </w:p>
        </w:tc>
        <w:tc>
          <w:tcPr>
            <w:tcW w:w="3440" w:type="dxa"/>
            <w:vMerge/>
            <w:tcBorders>
              <w:bottom w:val="single" w:sz="4" w:space="0" w:color="auto"/>
              <w:right w:val="single" w:sz="4" w:space="0" w:color="auto"/>
            </w:tcBorders>
            <w:shd w:val="clear" w:color="auto" w:fill="auto"/>
          </w:tcPr>
          <w:p w:rsidR="0023405B" w:rsidRPr="0023405B" w:rsidRDefault="0023405B" w:rsidP="0023405B">
            <w:pPr>
              <w:suppressAutoHyphens w:val="0"/>
              <w:autoSpaceDN/>
              <w:spacing w:line="259" w:lineRule="auto"/>
              <w:textAlignment w:val="auto"/>
              <w:rPr>
                <w:rFonts w:ascii="Times New Roman" w:eastAsiaTheme="minorHAnsi" w:hAnsi="Times New Roman"/>
                <w:sz w:val="20"/>
                <w:szCs w:val="20"/>
              </w:rPr>
            </w:pPr>
          </w:p>
        </w:tc>
      </w:tr>
    </w:tbl>
    <w:p w:rsidR="0023405B" w:rsidRPr="0023405B" w:rsidRDefault="0023405B" w:rsidP="0023405B">
      <w:pPr>
        <w:suppressAutoHyphens w:val="0"/>
        <w:autoSpaceDE w:val="0"/>
        <w:spacing w:after="0"/>
        <w:textAlignment w:val="auto"/>
        <w:rPr>
          <w:rFonts w:ascii="Times New Roman" w:eastAsia="Times New Roman" w:hAnsi="Times New Roman"/>
          <w:lang w:eastAsia="lv-LV"/>
        </w:rPr>
      </w:pPr>
    </w:p>
    <w:p w:rsidR="0023405B" w:rsidRPr="0023405B" w:rsidRDefault="0023405B" w:rsidP="0023405B">
      <w:pPr>
        <w:tabs>
          <w:tab w:val="left" w:pos="8931"/>
        </w:tabs>
        <w:suppressAutoHyphens w:val="0"/>
        <w:autoSpaceDE w:val="0"/>
        <w:spacing w:after="0"/>
        <w:ind w:left="-142" w:right="283"/>
        <w:jc w:val="both"/>
        <w:textAlignment w:val="auto"/>
        <w:rPr>
          <w:rFonts w:eastAsia="Times New Roman" w:cs="Calibri"/>
          <w:lang w:eastAsia="lv-LV"/>
        </w:rPr>
      </w:pPr>
      <w:r w:rsidRPr="0023405B">
        <w:rPr>
          <w:rFonts w:ascii="Times New Roman" w:eastAsia="Times New Roman" w:hAnsi="Times New Roman"/>
          <w:lang w:eastAsia="lv-LV"/>
        </w:rPr>
        <w:t>DIS darbības laikā  Pircēju sarakstā var tikt veiktas izmaiņas. Pasūtītājs negarantē, ka visi nolikuma 5.pielikumā norādītie Pircēji DIS darbības laikā iegādāsies elektroenerģiju. Tāpat nav iespējams prognozēt precīzus Pircēju elektroenerģijas patēriņa apjomus.</w:t>
      </w:r>
    </w:p>
    <w:p w:rsidR="0023405B" w:rsidRPr="0023405B" w:rsidRDefault="0023405B" w:rsidP="0023405B">
      <w:pPr>
        <w:spacing w:after="0"/>
        <w:jc w:val="both"/>
        <w:rPr>
          <w:rFonts w:ascii="Times New Roman" w:hAnsi="Times New Roman"/>
          <w:sz w:val="24"/>
          <w:szCs w:val="24"/>
        </w:rPr>
      </w:pPr>
    </w:p>
    <w:p w:rsidR="0023405B" w:rsidRPr="0023405B" w:rsidRDefault="0023405B" w:rsidP="0023405B">
      <w:pPr>
        <w:spacing w:after="0"/>
        <w:jc w:val="both"/>
        <w:rPr>
          <w:rFonts w:ascii="Times New Roman" w:hAnsi="Times New Roman"/>
          <w:sz w:val="24"/>
          <w:szCs w:val="24"/>
        </w:rPr>
      </w:pPr>
    </w:p>
    <w:p w:rsidR="0023405B" w:rsidRPr="0023405B" w:rsidRDefault="0023405B" w:rsidP="0023405B"/>
    <w:p w:rsidR="0023405B" w:rsidRPr="0023405B" w:rsidRDefault="0023405B" w:rsidP="0023405B">
      <w:pPr>
        <w:spacing w:after="0"/>
        <w:jc w:val="both"/>
        <w:rPr>
          <w:rFonts w:ascii="Times New Roman" w:hAnsi="Times New Roman"/>
          <w:sz w:val="24"/>
          <w:szCs w:val="24"/>
        </w:rPr>
      </w:pPr>
    </w:p>
    <w:p w:rsidR="0023405B" w:rsidRPr="0023405B" w:rsidRDefault="0023405B" w:rsidP="0023405B">
      <w:pPr>
        <w:spacing w:after="0"/>
        <w:jc w:val="both"/>
        <w:rPr>
          <w:rFonts w:ascii="Times New Roman" w:hAnsi="Times New Roman"/>
          <w:sz w:val="24"/>
          <w:szCs w:val="24"/>
        </w:rPr>
      </w:pPr>
    </w:p>
    <w:p w:rsidR="0023405B" w:rsidRPr="0023405B" w:rsidRDefault="0023405B" w:rsidP="0023405B">
      <w:pPr>
        <w:spacing w:after="0"/>
        <w:jc w:val="both"/>
        <w:rPr>
          <w:rFonts w:ascii="Times New Roman" w:hAnsi="Times New Roman"/>
          <w:sz w:val="24"/>
          <w:szCs w:val="24"/>
        </w:rPr>
      </w:pPr>
    </w:p>
    <w:p w:rsidR="0023405B" w:rsidRPr="0023405B" w:rsidRDefault="0023405B" w:rsidP="0023405B">
      <w:pPr>
        <w:spacing w:after="0"/>
        <w:jc w:val="both"/>
        <w:rPr>
          <w:rFonts w:ascii="Times New Roman" w:hAnsi="Times New Roman"/>
          <w:sz w:val="24"/>
          <w:szCs w:val="24"/>
        </w:rPr>
      </w:pPr>
    </w:p>
    <w:p w:rsidR="0023405B" w:rsidRPr="0023405B" w:rsidRDefault="0023405B" w:rsidP="0023405B">
      <w:pPr>
        <w:spacing w:after="0"/>
        <w:jc w:val="both"/>
        <w:rPr>
          <w:rFonts w:ascii="Times New Roman" w:hAnsi="Times New Roman"/>
          <w:sz w:val="24"/>
          <w:szCs w:val="24"/>
        </w:rPr>
      </w:pPr>
    </w:p>
    <w:p w:rsidR="0023405B" w:rsidRPr="0023405B" w:rsidRDefault="0023405B" w:rsidP="0023405B">
      <w:pPr>
        <w:spacing w:after="0"/>
        <w:jc w:val="both"/>
        <w:rPr>
          <w:rFonts w:ascii="Times New Roman" w:hAnsi="Times New Roman"/>
          <w:sz w:val="24"/>
          <w:szCs w:val="24"/>
        </w:rPr>
      </w:pPr>
    </w:p>
    <w:p w:rsidR="0023405B" w:rsidRPr="0023405B" w:rsidRDefault="0023405B" w:rsidP="0023405B">
      <w:pPr>
        <w:spacing w:after="0"/>
        <w:jc w:val="both"/>
        <w:rPr>
          <w:rFonts w:ascii="Times New Roman" w:hAnsi="Times New Roman"/>
          <w:sz w:val="24"/>
          <w:szCs w:val="24"/>
        </w:rPr>
      </w:pPr>
    </w:p>
    <w:p w:rsidR="0023405B" w:rsidRPr="0023405B" w:rsidRDefault="0023405B" w:rsidP="0023405B">
      <w:pPr>
        <w:spacing w:after="0"/>
        <w:jc w:val="both"/>
        <w:rPr>
          <w:rFonts w:ascii="Times New Roman" w:hAnsi="Times New Roman"/>
          <w:sz w:val="24"/>
          <w:szCs w:val="24"/>
        </w:rPr>
      </w:pPr>
    </w:p>
    <w:p w:rsidR="00F736C4" w:rsidRPr="0023405B" w:rsidRDefault="00F736C4" w:rsidP="0023405B">
      <w:bookmarkStart w:id="0" w:name="_GoBack"/>
      <w:bookmarkEnd w:id="0"/>
    </w:p>
    <w:sectPr w:rsidR="00F736C4" w:rsidRPr="0023405B">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736C4" w:rsidRDefault="00F736C4" w:rsidP="00F736C4">
      <w:pPr>
        <w:spacing w:after="0"/>
      </w:pPr>
      <w:r>
        <w:separator/>
      </w:r>
    </w:p>
  </w:endnote>
  <w:endnote w:type="continuationSeparator" w:id="0">
    <w:p w:rsidR="00F736C4" w:rsidRDefault="00F736C4" w:rsidP="00F736C4">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736C4" w:rsidRDefault="00F736C4" w:rsidP="00F736C4">
      <w:pPr>
        <w:spacing w:after="0"/>
      </w:pPr>
      <w:r>
        <w:separator/>
      </w:r>
    </w:p>
  </w:footnote>
  <w:footnote w:type="continuationSeparator" w:id="0">
    <w:p w:rsidR="00F736C4" w:rsidRDefault="00F736C4" w:rsidP="00F736C4">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F27244"/>
    <w:multiLevelType w:val="multilevel"/>
    <w:tmpl w:val="C5CE0C58"/>
    <w:lvl w:ilvl="0">
      <w:start w:val="1"/>
      <w:numFmt w:val="decimal"/>
      <w:lvlText w:val="%1."/>
      <w:lvlJc w:val="left"/>
      <w:pPr>
        <w:tabs>
          <w:tab w:val="num" w:pos="540"/>
        </w:tabs>
        <w:ind w:left="540" w:hanging="540"/>
      </w:pPr>
      <w:rPr>
        <w:rFonts w:hint="default"/>
        <w:b w:val="0"/>
      </w:rPr>
    </w:lvl>
    <w:lvl w:ilvl="1">
      <w:start w:val="1"/>
      <w:numFmt w:val="decimal"/>
      <w:lvlText w:val="%1.%2."/>
      <w:lvlJc w:val="left"/>
      <w:pPr>
        <w:tabs>
          <w:tab w:val="num" w:pos="540"/>
        </w:tabs>
        <w:ind w:left="540" w:hanging="540"/>
      </w:pPr>
      <w:rPr>
        <w:rFonts w:hint="default"/>
        <w:b w:val="0"/>
      </w:rPr>
    </w:lvl>
    <w:lvl w:ilvl="2">
      <w:start w:val="4"/>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 w15:restartNumberingAfterBreak="0">
    <w:nsid w:val="0A330590"/>
    <w:multiLevelType w:val="hybridMultilevel"/>
    <w:tmpl w:val="4FA4B3D0"/>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 w15:restartNumberingAfterBreak="0">
    <w:nsid w:val="1137115A"/>
    <w:multiLevelType w:val="hybridMultilevel"/>
    <w:tmpl w:val="C2A24EA2"/>
    <w:lvl w:ilvl="0" w:tplc="15B4E19C">
      <w:start w:val="1"/>
      <w:numFmt w:val="bullet"/>
      <w:lvlText w:val=""/>
      <w:lvlJc w:val="left"/>
      <w:pPr>
        <w:tabs>
          <w:tab w:val="num" w:pos="720"/>
        </w:tabs>
        <w:ind w:left="720" w:hanging="360"/>
      </w:pPr>
      <w:rPr>
        <w:rFonts w:ascii="Wingdings" w:hAnsi="Wingdings" w:hint="default"/>
      </w:rPr>
    </w:lvl>
    <w:lvl w:ilvl="1" w:tplc="A9D4A4DE" w:tentative="1">
      <w:start w:val="1"/>
      <w:numFmt w:val="bullet"/>
      <w:lvlText w:val="o"/>
      <w:lvlJc w:val="left"/>
      <w:pPr>
        <w:tabs>
          <w:tab w:val="num" w:pos="1440"/>
        </w:tabs>
        <w:ind w:left="1440" w:hanging="360"/>
      </w:pPr>
      <w:rPr>
        <w:rFonts w:ascii="Courier New" w:hAnsi="Courier New" w:hint="default"/>
      </w:rPr>
    </w:lvl>
    <w:lvl w:ilvl="2" w:tplc="6CF6AE30" w:tentative="1">
      <w:start w:val="1"/>
      <w:numFmt w:val="bullet"/>
      <w:lvlText w:val=""/>
      <w:lvlJc w:val="left"/>
      <w:pPr>
        <w:tabs>
          <w:tab w:val="num" w:pos="2160"/>
        </w:tabs>
        <w:ind w:left="2160" w:hanging="360"/>
      </w:pPr>
      <w:rPr>
        <w:rFonts w:ascii="Wingdings" w:hAnsi="Wingdings" w:hint="default"/>
      </w:rPr>
    </w:lvl>
    <w:lvl w:ilvl="3" w:tplc="DD2C8768" w:tentative="1">
      <w:start w:val="1"/>
      <w:numFmt w:val="bullet"/>
      <w:lvlText w:val=""/>
      <w:lvlJc w:val="left"/>
      <w:pPr>
        <w:tabs>
          <w:tab w:val="num" w:pos="2880"/>
        </w:tabs>
        <w:ind w:left="2880" w:hanging="360"/>
      </w:pPr>
      <w:rPr>
        <w:rFonts w:ascii="Symbol" w:hAnsi="Symbol" w:hint="default"/>
      </w:rPr>
    </w:lvl>
    <w:lvl w:ilvl="4" w:tplc="0ED44858" w:tentative="1">
      <w:start w:val="1"/>
      <w:numFmt w:val="bullet"/>
      <w:lvlText w:val="o"/>
      <w:lvlJc w:val="left"/>
      <w:pPr>
        <w:tabs>
          <w:tab w:val="num" w:pos="3600"/>
        </w:tabs>
        <w:ind w:left="3600" w:hanging="360"/>
      </w:pPr>
      <w:rPr>
        <w:rFonts w:ascii="Courier New" w:hAnsi="Courier New" w:hint="default"/>
      </w:rPr>
    </w:lvl>
    <w:lvl w:ilvl="5" w:tplc="DC2AB3F2" w:tentative="1">
      <w:start w:val="1"/>
      <w:numFmt w:val="bullet"/>
      <w:lvlText w:val=""/>
      <w:lvlJc w:val="left"/>
      <w:pPr>
        <w:tabs>
          <w:tab w:val="num" w:pos="4320"/>
        </w:tabs>
        <w:ind w:left="4320" w:hanging="360"/>
      </w:pPr>
      <w:rPr>
        <w:rFonts w:ascii="Wingdings" w:hAnsi="Wingdings" w:hint="default"/>
      </w:rPr>
    </w:lvl>
    <w:lvl w:ilvl="6" w:tplc="DF0C528C" w:tentative="1">
      <w:start w:val="1"/>
      <w:numFmt w:val="bullet"/>
      <w:lvlText w:val=""/>
      <w:lvlJc w:val="left"/>
      <w:pPr>
        <w:tabs>
          <w:tab w:val="num" w:pos="5040"/>
        </w:tabs>
        <w:ind w:left="5040" w:hanging="360"/>
      </w:pPr>
      <w:rPr>
        <w:rFonts w:ascii="Symbol" w:hAnsi="Symbol" w:hint="default"/>
      </w:rPr>
    </w:lvl>
    <w:lvl w:ilvl="7" w:tplc="3844E250" w:tentative="1">
      <w:start w:val="1"/>
      <w:numFmt w:val="bullet"/>
      <w:lvlText w:val="o"/>
      <w:lvlJc w:val="left"/>
      <w:pPr>
        <w:tabs>
          <w:tab w:val="num" w:pos="5760"/>
        </w:tabs>
        <w:ind w:left="5760" w:hanging="360"/>
      </w:pPr>
      <w:rPr>
        <w:rFonts w:ascii="Courier New" w:hAnsi="Courier New" w:hint="default"/>
      </w:rPr>
    </w:lvl>
    <w:lvl w:ilvl="8" w:tplc="CDF261A4"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70F22FB"/>
    <w:multiLevelType w:val="hybridMultilevel"/>
    <w:tmpl w:val="1DC08EE0"/>
    <w:lvl w:ilvl="0" w:tplc="DF38EB9A">
      <w:start w:val="1"/>
      <w:numFmt w:val="decimal"/>
      <w:lvlText w:val="%1."/>
      <w:lvlJc w:val="left"/>
      <w:pPr>
        <w:ind w:left="1440" w:hanging="360"/>
      </w:pPr>
      <w:rPr>
        <w:rFonts w:hint="default"/>
        <w:b w:val="0"/>
      </w:r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4" w15:restartNumberingAfterBreak="0">
    <w:nsid w:val="422D7231"/>
    <w:multiLevelType w:val="multilevel"/>
    <w:tmpl w:val="DEEEF274"/>
    <w:lvl w:ilvl="0">
      <w:start w:val="1"/>
      <w:numFmt w:val="decimal"/>
      <w:lvlText w:val="%1."/>
      <w:lvlJc w:val="left"/>
      <w:pPr>
        <w:ind w:left="360" w:hanging="360"/>
      </w:pPr>
      <w:rPr>
        <w:rFonts w:hint="default"/>
        <w:b w:val="0"/>
        <w:bCs/>
        <w:sz w:val="22"/>
      </w:rPr>
    </w:lvl>
    <w:lvl w:ilvl="1">
      <w:start w:val="1"/>
      <w:numFmt w:val="decimal"/>
      <w:lvlText w:val="%1.%2."/>
      <w:lvlJc w:val="left"/>
      <w:pPr>
        <w:ind w:left="720" w:hanging="360"/>
      </w:pPr>
      <w:rPr>
        <w:sz w:val="22"/>
      </w:rPr>
    </w:lvl>
    <w:lvl w:ilvl="2">
      <w:start w:val="1"/>
      <w:numFmt w:val="decimal"/>
      <w:isLgl/>
      <w:lvlText w:val="%1.%2.%3."/>
      <w:lvlJc w:val="left"/>
      <w:pPr>
        <w:ind w:left="1080" w:hanging="720"/>
      </w:pPr>
      <w:rPr>
        <w:rFonts w:hint="default"/>
        <w:sz w:val="22"/>
      </w:rPr>
    </w:lvl>
    <w:lvl w:ilvl="3">
      <w:start w:val="1"/>
      <w:numFmt w:val="decimal"/>
      <w:isLgl/>
      <w:lvlText w:val="%1.%2.%3.%4."/>
      <w:lvlJc w:val="left"/>
      <w:pPr>
        <w:ind w:left="1080" w:hanging="720"/>
      </w:pPr>
      <w:rPr>
        <w:rFonts w:hint="default"/>
        <w:sz w:val="22"/>
      </w:rPr>
    </w:lvl>
    <w:lvl w:ilvl="4">
      <w:start w:val="1"/>
      <w:numFmt w:val="decimal"/>
      <w:isLgl/>
      <w:lvlText w:val="%1.%2.%3.%4.%5."/>
      <w:lvlJc w:val="left"/>
      <w:pPr>
        <w:ind w:left="1440" w:hanging="1080"/>
      </w:pPr>
      <w:rPr>
        <w:rFonts w:hint="default"/>
        <w:sz w:val="22"/>
      </w:rPr>
    </w:lvl>
    <w:lvl w:ilvl="5">
      <w:start w:val="1"/>
      <w:numFmt w:val="decimal"/>
      <w:isLgl/>
      <w:lvlText w:val="%1.%2.%3.%4.%5.%6."/>
      <w:lvlJc w:val="left"/>
      <w:pPr>
        <w:ind w:left="1440" w:hanging="1080"/>
      </w:pPr>
      <w:rPr>
        <w:rFonts w:hint="default"/>
        <w:sz w:val="22"/>
      </w:rPr>
    </w:lvl>
    <w:lvl w:ilvl="6">
      <w:start w:val="1"/>
      <w:numFmt w:val="decimal"/>
      <w:isLgl/>
      <w:lvlText w:val="%1.%2.%3.%4.%5.%6.%7."/>
      <w:lvlJc w:val="left"/>
      <w:pPr>
        <w:ind w:left="1800" w:hanging="1440"/>
      </w:pPr>
      <w:rPr>
        <w:rFonts w:hint="default"/>
        <w:sz w:val="22"/>
      </w:rPr>
    </w:lvl>
    <w:lvl w:ilvl="7">
      <w:start w:val="1"/>
      <w:numFmt w:val="decimal"/>
      <w:isLgl/>
      <w:lvlText w:val="%1.%2.%3.%4.%5.%6.%7.%8."/>
      <w:lvlJc w:val="left"/>
      <w:pPr>
        <w:ind w:left="1800" w:hanging="1440"/>
      </w:pPr>
      <w:rPr>
        <w:rFonts w:hint="default"/>
        <w:sz w:val="22"/>
      </w:rPr>
    </w:lvl>
    <w:lvl w:ilvl="8">
      <w:start w:val="1"/>
      <w:numFmt w:val="decimal"/>
      <w:isLgl/>
      <w:lvlText w:val="%1.%2.%3.%4.%5.%6.%7.%8.%9."/>
      <w:lvlJc w:val="left"/>
      <w:pPr>
        <w:ind w:left="2160" w:hanging="1800"/>
      </w:pPr>
      <w:rPr>
        <w:rFonts w:hint="default"/>
        <w:sz w:val="22"/>
      </w:rPr>
    </w:lvl>
  </w:abstractNum>
  <w:abstractNum w:abstractNumId="5" w15:restartNumberingAfterBreak="0">
    <w:nsid w:val="6BB83BE2"/>
    <w:multiLevelType w:val="multilevel"/>
    <w:tmpl w:val="9AA8A3CC"/>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b w:val="0"/>
      </w:rPr>
    </w:lvl>
    <w:lvl w:ilvl="2">
      <w:start w:val="1"/>
      <w:numFmt w:val="decimal"/>
      <w:lvlText w:val="%1.%2.%3."/>
      <w:lvlJc w:val="left"/>
      <w:pPr>
        <w:tabs>
          <w:tab w:val="num" w:pos="1440"/>
        </w:tabs>
        <w:ind w:left="1224" w:hanging="504"/>
      </w:pPr>
      <w:rPr>
        <w:rFonts w:hint="default"/>
        <w:sz w:val="22"/>
        <w:szCs w:val="22"/>
      </w:rPr>
    </w:lvl>
    <w:lvl w:ilvl="3">
      <w:start w:val="1"/>
      <w:numFmt w:val="decimal"/>
      <w:lvlText w:val="%1.%2.%3.%4."/>
      <w:lvlJc w:val="left"/>
      <w:pPr>
        <w:tabs>
          <w:tab w:val="num" w:pos="1728"/>
        </w:tabs>
        <w:ind w:left="1728" w:hanging="1104"/>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36C4"/>
    <w:rsid w:val="00215ABE"/>
    <w:rsid w:val="0023405B"/>
    <w:rsid w:val="00AF3B55"/>
    <w:rsid w:val="00EB7CA4"/>
    <w:rsid w:val="00F736C4"/>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3BC598F"/>
  <w15:chartTrackingRefBased/>
  <w15:docId w15:val="{700E8605-E390-4E83-809A-C3DEB558C6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736C4"/>
    <w:pPr>
      <w:suppressAutoHyphens/>
      <w:autoSpaceDN w:val="0"/>
      <w:spacing w:line="240" w:lineRule="auto"/>
      <w:textAlignment w:val="baseline"/>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Normal bullet 2,Bullet list,Strip,H&amp;P List Paragraph,Syle 1,Virsraksti,2,Saistīto dokumentu saraksts,Numurets,PPS_Bullet,List Paragraph1"/>
    <w:basedOn w:val="Normal"/>
    <w:uiPriority w:val="34"/>
    <w:qFormat/>
    <w:rsid w:val="00F736C4"/>
    <w:pPr>
      <w:spacing w:after="0"/>
      <w:ind w:left="720"/>
    </w:pPr>
    <w:rPr>
      <w:lang w:eastAsia="lv-LV"/>
    </w:rPr>
  </w:style>
  <w:style w:type="paragraph" w:styleId="FootnoteText">
    <w:name w:val="footnote text"/>
    <w:basedOn w:val="Normal"/>
    <w:link w:val="FootnoteTextChar"/>
    <w:rsid w:val="00AF3B55"/>
    <w:pPr>
      <w:spacing w:after="0"/>
    </w:pPr>
    <w:rPr>
      <w:sz w:val="20"/>
      <w:szCs w:val="20"/>
    </w:rPr>
  </w:style>
  <w:style w:type="character" w:customStyle="1" w:styleId="FootnoteTextChar">
    <w:name w:val="Footnote Text Char"/>
    <w:basedOn w:val="DefaultParagraphFont"/>
    <w:link w:val="FootnoteText"/>
    <w:rsid w:val="00AF3B55"/>
    <w:rPr>
      <w:rFonts w:ascii="Calibri" w:eastAsia="Calibri" w:hAnsi="Calibri" w:cs="Times New Roman"/>
      <w:sz w:val="20"/>
      <w:szCs w:val="20"/>
    </w:rPr>
  </w:style>
  <w:style w:type="character" w:styleId="FootnoteReference">
    <w:name w:val="footnote reference"/>
    <w:rsid w:val="00AF3B55"/>
    <w:rPr>
      <w:position w:val="0"/>
      <w:vertAlign w:val="superscript"/>
    </w:rPr>
  </w:style>
  <w:style w:type="paragraph" w:styleId="Header">
    <w:name w:val="header"/>
    <w:basedOn w:val="Normal"/>
    <w:link w:val="HeaderChar"/>
    <w:uiPriority w:val="99"/>
    <w:unhideWhenUsed/>
    <w:rsid w:val="00AF3B55"/>
    <w:pPr>
      <w:tabs>
        <w:tab w:val="center" w:pos="4153"/>
        <w:tab w:val="right" w:pos="8306"/>
      </w:tabs>
      <w:spacing w:after="0"/>
    </w:pPr>
  </w:style>
  <w:style w:type="character" w:customStyle="1" w:styleId="HeaderChar">
    <w:name w:val="Header Char"/>
    <w:basedOn w:val="DefaultParagraphFont"/>
    <w:link w:val="Header"/>
    <w:uiPriority w:val="99"/>
    <w:rsid w:val="00AF3B55"/>
    <w:rPr>
      <w:rFonts w:ascii="Calibri" w:eastAsia="Calibri" w:hAnsi="Calibri" w:cs="Times New Roman"/>
    </w:rPr>
  </w:style>
  <w:style w:type="paragraph" w:styleId="Footer">
    <w:name w:val="footer"/>
    <w:basedOn w:val="Normal"/>
    <w:link w:val="FooterChar"/>
    <w:uiPriority w:val="99"/>
    <w:unhideWhenUsed/>
    <w:rsid w:val="00AF3B55"/>
    <w:pPr>
      <w:tabs>
        <w:tab w:val="center" w:pos="4153"/>
        <w:tab w:val="right" w:pos="8306"/>
      </w:tabs>
      <w:spacing w:after="0"/>
    </w:pPr>
  </w:style>
  <w:style w:type="character" w:customStyle="1" w:styleId="FooterChar">
    <w:name w:val="Footer Char"/>
    <w:basedOn w:val="DefaultParagraphFont"/>
    <w:link w:val="Footer"/>
    <w:uiPriority w:val="99"/>
    <w:rsid w:val="00AF3B55"/>
    <w:rPr>
      <w:rFonts w:ascii="Calibri" w:eastAsia="Calibri" w:hAnsi="Calibri" w:cs="Times New Roman"/>
    </w:rPr>
  </w:style>
  <w:style w:type="character" w:styleId="Hyperlink">
    <w:name w:val="Hyperlink"/>
    <w:basedOn w:val="DefaultParagraphFont"/>
    <w:uiPriority w:val="99"/>
    <w:rsid w:val="00215ABE"/>
    <w:rPr>
      <w:color w:val="0000FF"/>
      <w:u w:val="single"/>
    </w:rPr>
  </w:style>
  <w:style w:type="character" w:customStyle="1" w:styleId="normaltextrun1">
    <w:name w:val="normaltextrun1"/>
    <w:basedOn w:val="DefaultParagraphFont"/>
    <w:rsid w:val="00215AB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4257</Words>
  <Characters>2427</Characters>
  <Application>Microsoft Office Word</Application>
  <DocSecurity>0</DocSecurity>
  <Lines>20</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Kristiāna Dārziņa - Gulbe</dc:creator>
  <cp:keywords/>
  <dc:description/>
  <cp:lastModifiedBy>Kristiāna Dārziņa - Gulbe</cp:lastModifiedBy>
  <cp:revision>2</cp:revision>
  <dcterms:created xsi:type="dcterms:W3CDTF">2021-04-19T12:28:00Z</dcterms:created>
  <dcterms:modified xsi:type="dcterms:W3CDTF">2021-04-19T12:28:00Z</dcterms:modified>
</cp:coreProperties>
</file>